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E8" w:rsidRPr="003962E8" w:rsidRDefault="004E2F8B" w:rsidP="003962E8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-529590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>ТУЖИНСКАЯ РАЙОННАЯ ДУМА</w:t>
      </w: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>КИРОВСКОЙ ОБЛАСТИ</w:t>
      </w: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>РЕШЕНИЕ</w:t>
      </w:r>
    </w:p>
    <w:p w:rsidR="003962E8" w:rsidRPr="003962E8" w:rsidRDefault="003962E8" w:rsidP="003962E8">
      <w:pPr>
        <w:tabs>
          <w:tab w:val="left" w:pos="4260"/>
        </w:tabs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ab/>
      </w:r>
    </w:p>
    <w:p w:rsidR="003962E8" w:rsidRPr="003962E8" w:rsidRDefault="003962E8" w:rsidP="003962E8">
      <w:pPr>
        <w:jc w:val="center"/>
        <w:rPr>
          <w:sz w:val="28"/>
          <w:szCs w:val="20"/>
          <w:u w:val="single"/>
        </w:rPr>
      </w:pPr>
      <w:r w:rsidRPr="003962E8">
        <w:rPr>
          <w:sz w:val="28"/>
          <w:szCs w:val="20"/>
          <w:u w:val="single"/>
        </w:rPr>
        <w:t>31.08.2015</w:t>
      </w:r>
      <w:r w:rsidRPr="003962E8">
        <w:rPr>
          <w:sz w:val="28"/>
          <w:szCs w:val="20"/>
        </w:rPr>
        <w:t xml:space="preserve">                                     </w:t>
      </w:r>
      <w:r>
        <w:rPr>
          <w:sz w:val="28"/>
          <w:szCs w:val="20"/>
        </w:rPr>
        <w:t xml:space="preserve">                               </w:t>
      </w:r>
      <w:r w:rsidRPr="003962E8">
        <w:rPr>
          <w:sz w:val="28"/>
          <w:szCs w:val="20"/>
        </w:rPr>
        <w:t xml:space="preserve">      </w:t>
      </w:r>
      <w:r w:rsidRPr="003962E8">
        <w:rPr>
          <w:sz w:val="28"/>
          <w:szCs w:val="20"/>
          <w:u w:val="single"/>
        </w:rPr>
        <w:t>№ 61/386</w:t>
      </w:r>
    </w:p>
    <w:p w:rsidR="003962E8" w:rsidRPr="003962E8" w:rsidRDefault="003962E8" w:rsidP="003962E8">
      <w:pPr>
        <w:jc w:val="center"/>
        <w:rPr>
          <w:sz w:val="28"/>
          <w:szCs w:val="20"/>
        </w:rPr>
      </w:pPr>
      <w:r w:rsidRPr="003962E8">
        <w:rPr>
          <w:sz w:val="28"/>
          <w:szCs w:val="20"/>
        </w:rPr>
        <w:t>пгт Тужа</w:t>
      </w: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>О внесении изменений в решение Тужинской районной Думы</w:t>
      </w:r>
    </w:p>
    <w:p w:rsidR="003962E8" w:rsidRPr="003962E8" w:rsidRDefault="003962E8" w:rsidP="003962E8">
      <w:pPr>
        <w:jc w:val="center"/>
        <w:rPr>
          <w:b/>
          <w:sz w:val="28"/>
          <w:szCs w:val="20"/>
        </w:rPr>
      </w:pPr>
      <w:r w:rsidRPr="003962E8">
        <w:rPr>
          <w:b/>
          <w:sz w:val="28"/>
          <w:szCs w:val="20"/>
        </w:rPr>
        <w:t xml:space="preserve"> от 10.11.2008 № 34/277</w:t>
      </w:r>
    </w:p>
    <w:p w:rsidR="003962E8" w:rsidRPr="003962E8" w:rsidRDefault="003962E8" w:rsidP="003962E8">
      <w:pPr>
        <w:jc w:val="both"/>
        <w:rPr>
          <w:sz w:val="28"/>
          <w:szCs w:val="20"/>
        </w:rPr>
      </w:pP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В соответствии с главой 26.3 «Система налогообложения в виде единого налога на вмененный доход для отдельных видов деятельности» Налогового кодекса Российской Ф</w:t>
      </w:r>
      <w:r w:rsidRPr="003962E8">
        <w:rPr>
          <w:sz w:val="28"/>
          <w:szCs w:val="20"/>
        </w:rPr>
        <w:t>е</w:t>
      </w:r>
      <w:r w:rsidRPr="003962E8">
        <w:rPr>
          <w:sz w:val="28"/>
          <w:szCs w:val="20"/>
        </w:rPr>
        <w:t>дерации, введенной Федеральным законом от 24.07.2002 №104-ФЗ, с пунктом 3 части 10 ст</w:t>
      </w:r>
      <w:r w:rsidRPr="003962E8">
        <w:rPr>
          <w:sz w:val="28"/>
          <w:szCs w:val="20"/>
        </w:rPr>
        <w:t>а</w:t>
      </w:r>
      <w:r w:rsidRPr="003962E8">
        <w:rPr>
          <w:sz w:val="28"/>
          <w:szCs w:val="20"/>
        </w:rPr>
        <w:t>тьи 35 Федерального закона от 06.10.2003 № 131-ФЗ «Об общих принципах организации местного самоуправления Росси</w:t>
      </w:r>
      <w:r w:rsidRPr="003962E8">
        <w:rPr>
          <w:sz w:val="28"/>
          <w:szCs w:val="20"/>
        </w:rPr>
        <w:t>й</w:t>
      </w:r>
      <w:r w:rsidRPr="003962E8">
        <w:rPr>
          <w:sz w:val="28"/>
          <w:szCs w:val="20"/>
        </w:rPr>
        <w:t>ской Федерации» и на основании пункта 3 части 1 статьи 21 Устава муниципального образования Тужинский муниципальный район, Тужинская райо</w:t>
      </w:r>
      <w:r w:rsidRPr="003962E8">
        <w:rPr>
          <w:sz w:val="28"/>
          <w:szCs w:val="20"/>
        </w:rPr>
        <w:t>н</w:t>
      </w:r>
      <w:r w:rsidRPr="003962E8">
        <w:rPr>
          <w:sz w:val="28"/>
          <w:szCs w:val="20"/>
        </w:rPr>
        <w:t>ная Дума РЕШИЛА:</w:t>
      </w: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1.Внести в решение Тужинской районной Думы от 10.11.2008 № 34/277 «О едином налоге на вмененный доход для отдельных видов деятельности» (далее – Решение) следу</w:t>
      </w:r>
      <w:r w:rsidRPr="003962E8">
        <w:rPr>
          <w:sz w:val="28"/>
          <w:szCs w:val="20"/>
        </w:rPr>
        <w:t>ю</w:t>
      </w:r>
      <w:r w:rsidRPr="003962E8">
        <w:rPr>
          <w:sz w:val="28"/>
          <w:szCs w:val="20"/>
        </w:rPr>
        <w:t>щие изменения:</w:t>
      </w: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1.1. Абзац 1 пункта 3 Решения изложить в новой редакции следующего содержания:</w:t>
      </w:r>
    </w:p>
    <w:p w:rsidR="003962E8" w:rsidRPr="003962E8" w:rsidRDefault="003962E8" w:rsidP="003962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«Система налогообложения в виде единого налога на вмененный доход применяется в отношении следующих видов предпринимательской деятельн</w:t>
      </w:r>
      <w:r w:rsidRPr="003962E8">
        <w:rPr>
          <w:sz w:val="28"/>
          <w:szCs w:val="20"/>
        </w:rPr>
        <w:t>о</w:t>
      </w:r>
      <w:r w:rsidRPr="003962E8">
        <w:rPr>
          <w:sz w:val="28"/>
          <w:szCs w:val="20"/>
        </w:rPr>
        <w:t>сти:»</w:t>
      </w: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1.2. Пункт 5 следует изложить в новой редакции:</w:t>
      </w: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«Для налогоплательщиков, использующих труд наемных работников, значение корректирующего коэффициента К2 увеличивается в 3 раза при уро</w:t>
      </w:r>
      <w:r w:rsidRPr="003962E8">
        <w:rPr>
          <w:sz w:val="28"/>
          <w:szCs w:val="20"/>
        </w:rPr>
        <w:t>в</w:t>
      </w:r>
      <w:r w:rsidRPr="003962E8">
        <w:rPr>
          <w:sz w:val="28"/>
          <w:szCs w:val="20"/>
        </w:rPr>
        <w:t>не среднемесячной заработной платы работников ниже величины прожиточного минимума для трудоспособного населения, установленной по Кировской о</w:t>
      </w:r>
      <w:r w:rsidRPr="003962E8">
        <w:rPr>
          <w:sz w:val="28"/>
          <w:szCs w:val="20"/>
        </w:rPr>
        <w:t>б</w:t>
      </w:r>
      <w:r w:rsidRPr="003962E8">
        <w:rPr>
          <w:sz w:val="28"/>
          <w:szCs w:val="20"/>
        </w:rPr>
        <w:t>ласти на предшествующий квартал. Значение коэффициента К2 при этом не может быть более 1.  Среднемесячная заработная плата исчисляется в соответствии с «Расчетом по начисленным и уплаченным страховым взносам на обяз</w:t>
      </w:r>
      <w:r w:rsidRPr="003962E8">
        <w:rPr>
          <w:sz w:val="28"/>
          <w:szCs w:val="20"/>
        </w:rPr>
        <w:t>а</w:t>
      </w:r>
      <w:r w:rsidRPr="003962E8">
        <w:rPr>
          <w:sz w:val="28"/>
          <w:szCs w:val="20"/>
        </w:rPr>
        <w:t>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 плательщиками страховых взносов, производящими выплаты и иные вознаграждения физическим лицам» как отношение суммы выплат и иных вознагра</w:t>
      </w:r>
      <w:r w:rsidRPr="003962E8">
        <w:rPr>
          <w:sz w:val="28"/>
          <w:szCs w:val="20"/>
        </w:rPr>
        <w:t>ж</w:t>
      </w:r>
      <w:r w:rsidRPr="003962E8">
        <w:rPr>
          <w:sz w:val="28"/>
          <w:szCs w:val="20"/>
        </w:rPr>
        <w:t>дений, начисленных в пользу физических лиц, к среднесписочной численности (Форма РСВ – 1ПФР).»</w:t>
      </w:r>
    </w:p>
    <w:p w:rsidR="003962E8" w:rsidRPr="003962E8" w:rsidRDefault="003962E8" w:rsidP="003962E8">
      <w:pPr>
        <w:ind w:firstLine="709"/>
        <w:jc w:val="both"/>
        <w:rPr>
          <w:sz w:val="28"/>
          <w:szCs w:val="20"/>
        </w:rPr>
      </w:pPr>
      <w:r w:rsidRPr="003962E8">
        <w:rPr>
          <w:sz w:val="28"/>
          <w:szCs w:val="20"/>
        </w:rPr>
        <w:t>2. Решение вступает в законную силу с  01.10.2015.</w:t>
      </w:r>
    </w:p>
    <w:p w:rsidR="003962E8" w:rsidRPr="003962E8" w:rsidRDefault="003962E8" w:rsidP="003962E8">
      <w:pPr>
        <w:tabs>
          <w:tab w:val="left" w:pos="0"/>
        </w:tabs>
        <w:suppressAutoHyphens/>
        <w:jc w:val="both"/>
        <w:rPr>
          <w:sz w:val="28"/>
          <w:szCs w:val="20"/>
        </w:rPr>
      </w:pPr>
    </w:p>
    <w:p w:rsidR="00FC414F" w:rsidRPr="003962E8" w:rsidRDefault="003962E8" w:rsidP="003962E8">
      <w:pPr>
        <w:tabs>
          <w:tab w:val="left" w:pos="0"/>
        </w:tabs>
        <w:suppressAutoHyphens/>
        <w:jc w:val="both"/>
        <w:rPr>
          <w:sz w:val="28"/>
          <w:szCs w:val="20"/>
        </w:rPr>
      </w:pPr>
      <w:r w:rsidRPr="003962E8">
        <w:rPr>
          <w:sz w:val="28"/>
          <w:szCs w:val="20"/>
        </w:rPr>
        <w:t xml:space="preserve">Глава Тужинского района        </w:t>
      </w:r>
      <w:r w:rsidRPr="003962E8">
        <w:rPr>
          <w:sz w:val="28"/>
          <w:szCs w:val="20"/>
        </w:rPr>
        <w:tab/>
        <w:t>Л.А. Трушкова</w:t>
      </w:r>
    </w:p>
    <w:sectPr w:rsidR="00FC414F" w:rsidRPr="003962E8" w:rsidSect="003962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2E8"/>
    <w:rsid w:val="003962E8"/>
    <w:rsid w:val="004E18C3"/>
    <w:rsid w:val="004E2F8B"/>
    <w:rsid w:val="00B15708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2016-03-01T07:04:00Z</dcterms:created>
  <dcterms:modified xsi:type="dcterms:W3CDTF">2016-03-01T07:04:00Z</dcterms:modified>
</cp:coreProperties>
</file>